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2EBD" w14:textId="77777777" w:rsidR="00AB23F8" w:rsidRPr="00314616" w:rsidRDefault="00AB23F8" w:rsidP="00AB23F8">
      <w:pPr>
        <w:rPr>
          <w:b/>
          <w:sz w:val="18"/>
          <w:szCs w:val="18"/>
        </w:rPr>
      </w:pPr>
    </w:p>
    <w:p w14:paraId="72DE03E3" w14:textId="77777777" w:rsidR="00E03801" w:rsidRDefault="00E03801" w:rsidP="00AB23F8">
      <w:pPr>
        <w:spacing w:after="160" w:line="259" w:lineRule="auto"/>
        <w:rPr>
          <w:b/>
          <w:bCs/>
          <w:sz w:val="18"/>
          <w:szCs w:val="18"/>
        </w:rPr>
      </w:pPr>
    </w:p>
    <w:p w14:paraId="5A4DE85F" w14:textId="77777777" w:rsidR="0086613E" w:rsidRPr="0086613E" w:rsidRDefault="0086613E" w:rsidP="0086613E">
      <w:pPr>
        <w:pStyle w:val="Normaalweb"/>
        <w:spacing w:before="0" w:beforeAutospacing="0" w:after="0" w:afterAutospacing="0"/>
        <w:rPr>
          <w:rFonts w:ascii="Times New Roman" w:hAnsi="Times New Roman" w:cs="Times New Roman"/>
          <w:b/>
          <w:bCs/>
          <w:sz w:val="18"/>
          <w:szCs w:val="18"/>
        </w:rPr>
      </w:pPr>
      <w:r w:rsidRPr="0086613E">
        <w:rPr>
          <w:rFonts w:ascii="Times New Roman" w:hAnsi="Times New Roman" w:cs="Times New Roman"/>
          <w:b/>
          <w:bCs/>
          <w:sz w:val="18"/>
          <w:szCs w:val="18"/>
        </w:rPr>
        <w:t>NHG-Standaard Langdurige klachten na COVID-19</w:t>
      </w:r>
    </w:p>
    <w:p w14:paraId="74A9DB90" w14:textId="0E6F2E3F" w:rsidR="0086613E" w:rsidRPr="0086613E" w:rsidRDefault="0086613E" w:rsidP="0086613E">
      <w:pPr>
        <w:pStyle w:val="Normaalweb"/>
        <w:spacing w:before="0" w:beforeAutospacing="0" w:after="0" w:afterAutospacing="0"/>
        <w:rPr>
          <w:rFonts w:ascii="Times New Roman" w:hAnsi="Times New Roman" w:cs="Times New Roman"/>
          <w:i/>
          <w:iCs/>
          <w:sz w:val="18"/>
          <w:szCs w:val="18"/>
        </w:rPr>
      </w:pPr>
      <w:r w:rsidRPr="0086613E">
        <w:rPr>
          <w:rFonts w:ascii="Times New Roman" w:hAnsi="Times New Roman" w:cs="Times New Roman"/>
          <w:i/>
          <w:iCs/>
          <w:sz w:val="18"/>
          <w:szCs w:val="18"/>
        </w:rPr>
        <w:t>Referenties:</w:t>
      </w:r>
    </w:p>
    <w:p w14:paraId="5D113BAA" w14:textId="77777777" w:rsidR="00527A9F" w:rsidRPr="00527A9F" w:rsidRDefault="00527A9F" w:rsidP="00527A9F">
      <w:pPr>
        <w:pStyle w:val="Eindnoottekst"/>
        <w:rPr>
          <w:i/>
          <w:iCs/>
          <w:sz w:val="18"/>
          <w:szCs w:val="18"/>
          <w:lang w:val="nl-NL"/>
        </w:rPr>
      </w:pPr>
      <w:r w:rsidRPr="00527A9F">
        <w:rPr>
          <w:i/>
          <w:iCs/>
          <w:sz w:val="18"/>
          <w:szCs w:val="18"/>
          <w:lang w:val="nl-NL"/>
        </w:rPr>
        <w:t xml:space="preserve"> NHG Standaard Langdurige Klachten na COVID-19 2022</w:t>
      </w:r>
    </w:p>
    <w:p w14:paraId="792ADF71" w14:textId="77777777" w:rsidR="00527A9F" w:rsidRPr="00527A9F" w:rsidRDefault="00527A9F" w:rsidP="00527A9F">
      <w:pPr>
        <w:pStyle w:val="Eindnoottekst"/>
        <w:rPr>
          <w:i/>
          <w:iCs/>
          <w:sz w:val="18"/>
          <w:szCs w:val="18"/>
          <w:lang w:val="nl-NL"/>
        </w:rPr>
      </w:pPr>
      <w:r w:rsidRPr="00527A9F">
        <w:rPr>
          <w:i/>
          <w:iCs/>
          <w:sz w:val="18"/>
          <w:szCs w:val="18"/>
          <w:lang w:val="nl-NL"/>
        </w:rPr>
        <w:t xml:space="preserve"> Multidisciplinaire richtlijn Langdurige Klachten na COVID-19 2022</w:t>
      </w:r>
    </w:p>
    <w:p w14:paraId="7DE0E88E" w14:textId="384698B5" w:rsidR="00527A9F" w:rsidRPr="00E401D4" w:rsidRDefault="00527A9F" w:rsidP="0086613E">
      <w:pPr>
        <w:spacing w:after="120" w:line="256" w:lineRule="auto"/>
        <w:ind w:left="360"/>
        <w:rPr>
          <w:b/>
          <w:bCs/>
          <w:sz w:val="18"/>
          <w:szCs w:val="18"/>
        </w:rPr>
      </w:pPr>
    </w:p>
    <w:p w14:paraId="075D1AD2" w14:textId="7FA90AE5" w:rsidR="00527A9F" w:rsidRPr="00E401D4" w:rsidRDefault="00527A9F" w:rsidP="00E401D4">
      <w:pPr>
        <w:spacing w:line="256" w:lineRule="auto"/>
        <w:jc w:val="both"/>
        <w:rPr>
          <w:b/>
          <w:bCs/>
          <w:sz w:val="18"/>
          <w:szCs w:val="18"/>
        </w:rPr>
      </w:pPr>
      <w:r w:rsidRPr="00E401D4">
        <w:rPr>
          <w:b/>
          <w:bCs/>
          <w:sz w:val="18"/>
          <w:szCs w:val="18"/>
        </w:rPr>
        <w:t>Digitale vaardigheden</w:t>
      </w:r>
    </w:p>
    <w:p w14:paraId="7EDAA1F5" w14:textId="64F9FEAC" w:rsidR="00527A9F" w:rsidRPr="00527A9F" w:rsidRDefault="00527A9F" w:rsidP="00E401D4">
      <w:pPr>
        <w:rPr>
          <w:i/>
          <w:iCs/>
          <w:sz w:val="18"/>
          <w:szCs w:val="18"/>
        </w:rPr>
      </w:pPr>
      <w:r w:rsidRPr="00527A9F">
        <w:rPr>
          <w:i/>
          <w:iCs/>
          <w:sz w:val="18"/>
          <w:szCs w:val="18"/>
        </w:rPr>
        <w:t>Bronnen</w:t>
      </w:r>
      <w:r w:rsidR="00E401D4">
        <w:rPr>
          <w:i/>
          <w:iCs/>
          <w:sz w:val="18"/>
          <w:szCs w:val="18"/>
        </w:rPr>
        <w:t>:</w:t>
      </w:r>
    </w:p>
    <w:p w14:paraId="24841FC1" w14:textId="77777777" w:rsidR="00527A9F" w:rsidRPr="00527A9F" w:rsidRDefault="00527A9F" w:rsidP="00E401D4">
      <w:pPr>
        <w:rPr>
          <w:i/>
          <w:iCs/>
          <w:sz w:val="18"/>
          <w:szCs w:val="18"/>
          <w:vertAlign w:val="superscript"/>
        </w:rPr>
      </w:pPr>
      <w:r w:rsidRPr="00527A9F">
        <w:rPr>
          <w:i/>
          <w:iCs/>
          <w:sz w:val="18"/>
          <w:szCs w:val="18"/>
          <w:vertAlign w:val="superscript"/>
        </w:rPr>
        <w:t xml:space="preserve">1 </w:t>
      </w:r>
      <w:r w:rsidRPr="00527A9F">
        <w:rPr>
          <w:i/>
          <w:iCs/>
          <w:sz w:val="18"/>
          <w:szCs w:val="18"/>
        </w:rPr>
        <w:t>Verkenning e-healthmonitor: de digitale transitie in de zorg in beeld, Schnoor K, Wouters MJM, Ossendorp BC, Suijkerbuijk AWM, RIVM rapport 2020-0090</w:t>
      </w:r>
    </w:p>
    <w:p w14:paraId="7BC2EA61" w14:textId="77777777" w:rsidR="00527A9F" w:rsidRPr="00527A9F" w:rsidRDefault="00527A9F" w:rsidP="00527A9F">
      <w:pPr>
        <w:rPr>
          <w:i/>
          <w:iCs/>
          <w:sz w:val="18"/>
          <w:szCs w:val="18"/>
        </w:rPr>
      </w:pPr>
      <w:r w:rsidRPr="00527A9F">
        <w:rPr>
          <w:i/>
          <w:iCs/>
          <w:sz w:val="18"/>
          <w:szCs w:val="18"/>
          <w:vertAlign w:val="superscript"/>
        </w:rPr>
        <w:t xml:space="preserve">2 </w:t>
      </w:r>
      <w:hyperlink r:id="rId5" w:history="1">
        <w:r w:rsidRPr="00527A9F">
          <w:rPr>
            <w:rStyle w:val="Hyperlink"/>
            <w:i/>
            <w:iCs/>
            <w:sz w:val="18"/>
            <w:szCs w:val="18"/>
          </w:rPr>
          <w:t>https://dutchdigitaldelta.nl/</w:t>
        </w:r>
      </w:hyperlink>
    </w:p>
    <w:p w14:paraId="7FA67F13" w14:textId="77777777" w:rsidR="00527A9F" w:rsidRPr="00527A9F" w:rsidRDefault="00527A9F" w:rsidP="00527A9F">
      <w:pPr>
        <w:rPr>
          <w:i/>
          <w:iCs/>
          <w:sz w:val="18"/>
          <w:szCs w:val="18"/>
        </w:rPr>
      </w:pPr>
      <w:r w:rsidRPr="00527A9F">
        <w:rPr>
          <w:i/>
          <w:iCs/>
          <w:sz w:val="18"/>
          <w:szCs w:val="18"/>
          <w:vertAlign w:val="superscript"/>
        </w:rPr>
        <w:t xml:space="preserve">3 </w:t>
      </w:r>
      <w:hyperlink r:id="rId6" w:history="1">
        <w:r w:rsidRPr="00527A9F">
          <w:rPr>
            <w:rStyle w:val="Hyperlink"/>
            <w:i/>
            <w:iCs/>
            <w:sz w:val="18"/>
            <w:szCs w:val="18"/>
          </w:rPr>
          <w:t>https://www.rijksoverheid.nl</w:t>
        </w:r>
      </w:hyperlink>
    </w:p>
    <w:p w14:paraId="3165F536" w14:textId="77777777" w:rsidR="00527A9F" w:rsidRPr="00527A9F" w:rsidRDefault="00527A9F" w:rsidP="00527A9F">
      <w:pPr>
        <w:rPr>
          <w:i/>
          <w:iCs/>
          <w:sz w:val="18"/>
          <w:szCs w:val="18"/>
        </w:rPr>
      </w:pPr>
      <w:r w:rsidRPr="00527A9F">
        <w:rPr>
          <w:i/>
          <w:iCs/>
          <w:sz w:val="18"/>
          <w:szCs w:val="18"/>
          <w:vertAlign w:val="superscript"/>
        </w:rPr>
        <w:t>4</w:t>
      </w:r>
      <w:r w:rsidRPr="00527A9F">
        <w:rPr>
          <w:i/>
          <w:iCs/>
          <w:sz w:val="18"/>
          <w:szCs w:val="18"/>
        </w:rPr>
        <w:t xml:space="preserve"> </w:t>
      </w:r>
      <w:hyperlink r:id="rId7" w:history="1">
        <w:r w:rsidRPr="00527A9F">
          <w:rPr>
            <w:rStyle w:val="Hyperlink"/>
            <w:i/>
            <w:iCs/>
            <w:sz w:val="18"/>
            <w:szCs w:val="18"/>
          </w:rPr>
          <w:t>Programma eHealth4ALL - Pharos</w:t>
        </w:r>
      </w:hyperlink>
    </w:p>
    <w:p w14:paraId="1313EF93" w14:textId="27B89EEF" w:rsidR="00527A9F" w:rsidRDefault="00527A9F" w:rsidP="00527A9F">
      <w:pPr>
        <w:spacing w:after="120" w:line="256" w:lineRule="auto"/>
        <w:ind w:left="360"/>
        <w:jc w:val="both"/>
        <w:rPr>
          <w:i/>
          <w:iCs/>
          <w:sz w:val="18"/>
          <w:szCs w:val="18"/>
        </w:rPr>
      </w:pPr>
    </w:p>
    <w:p w14:paraId="0CEB1E18" w14:textId="77777777" w:rsidR="00E401D4" w:rsidRDefault="00E401D4" w:rsidP="00E401D4"/>
    <w:p w14:paraId="5D8C0EAA" w14:textId="786D5ADD" w:rsidR="00B36E55" w:rsidRPr="0099522B" w:rsidRDefault="00B36E55" w:rsidP="0099522B">
      <w:pPr>
        <w:pStyle w:val="Kop1"/>
        <w:rPr>
          <w:b/>
          <w:bCs/>
          <w:i w:val="0"/>
          <w:iCs w:val="0"/>
          <w:sz w:val="18"/>
          <w:szCs w:val="18"/>
        </w:rPr>
      </w:pPr>
      <w:r w:rsidRPr="00516E06">
        <w:rPr>
          <w:b/>
          <w:bCs/>
          <w:i w:val="0"/>
          <w:iCs w:val="0"/>
          <w:sz w:val="18"/>
          <w:szCs w:val="18"/>
        </w:rPr>
        <w:t>Hoe de COVID-19 pandemie het zorggebruik voor astma en COPD via de huisarts veranderde</w:t>
      </w:r>
    </w:p>
    <w:p w14:paraId="74D2B02F" w14:textId="77777777" w:rsidR="0099522B" w:rsidRPr="004B6EF5" w:rsidRDefault="0099522B" w:rsidP="0099522B">
      <w:pPr>
        <w:rPr>
          <w:i/>
          <w:sz w:val="18"/>
          <w:szCs w:val="18"/>
        </w:rPr>
      </w:pPr>
      <w:r w:rsidRPr="004B6EF5">
        <w:rPr>
          <w:i/>
          <w:sz w:val="18"/>
          <w:szCs w:val="18"/>
        </w:rPr>
        <w:t>Referenties</w:t>
      </w:r>
    </w:p>
    <w:p w14:paraId="51BDFA4D" w14:textId="77777777" w:rsidR="0099522B" w:rsidRPr="004B6EF5" w:rsidRDefault="0099522B" w:rsidP="0099522B">
      <w:pPr>
        <w:rPr>
          <w:sz w:val="18"/>
          <w:szCs w:val="18"/>
        </w:rPr>
      </w:pPr>
      <w:r w:rsidRPr="004B6EF5">
        <w:rPr>
          <w:sz w:val="18"/>
          <w:szCs w:val="18"/>
        </w:rPr>
        <w:t>1. Longfonds. [internet: http://www.longfonds.nl.geraadpleegd op 30-08-2021].</w:t>
      </w:r>
    </w:p>
    <w:p w14:paraId="0038464D" w14:textId="77777777" w:rsidR="0099522B" w:rsidRPr="004B6EF5" w:rsidRDefault="0099522B" w:rsidP="0099522B">
      <w:pPr>
        <w:rPr>
          <w:sz w:val="18"/>
          <w:szCs w:val="18"/>
          <w:lang w:val="en-US"/>
        </w:rPr>
      </w:pPr>
      <w:r w:rsidRPr="004B6EF5">
        <w:rPr>
          <w:sz w:val="18"/>
          <w:szCs w:val="18"/>
        </w:rPr>
        <w:t xml:space="preserve">2. Den Boer-Wolters, D., Knol, M.J., Smulders, K., de Wit, N.J. (2010). </w:t>
      </w:r>
      <w:r w:rsidRPr="004B6EF5">
        <w:rPr>
          <w:sz w:val="18"/>
          <w:szCs w:val="18"/>
          <w:lang w:val="en-US"/>
        </w:rPr>
        <w:t xml:space="preserve">Frequent attendance of primary care out-of-hours services in the Netherlands: characteristics of patients and presented morbidity. Family Practice, 27(2), 129–134. https://doi.org/10.1093/FAMPRA/CMP103. </w:t>
      </w:r>
    </w:p>
    <w:p w14:paraId="09EDA1C9" w14:textId="77777777" w:rsidR="0099522B" w:rsidRPr="004B6EF5" w:rsidRDefault="0099522B" w:rsidP="0099522B">
      <w:pPr>
        <w:rPr>
          <w:sz w:val="18"/>
          <w:szCs w:val="18"/>
        </w:rPr>
      </w:pPr>
      <w:r w:rsidRPr="004B6EF5">
        <w:rPr>
          <w:sz w:val="18"/>
          <w:szCs w:val="18"/>
          <w:lang w:val="en-US"/>
        </w:rPr>
        <w:t xml:space="preserve">3. Flarup, L., Moth, G., Christensen, M. B., Vestergaard, M., Olesen, F., &amp; Vedsted, P. (2014). Chronic-disease patients and their use of out-of-hours primary health care: a cross-sectional study. </w:t>
      </w:r>
      <w:r w:rsidRPr="004B6EF5">
        <w:rPr>
          <w:sz w:val="18"/>
          <w:szCs w:val="18"/>
        </w:rPr>
        <w:t xml:space="preserve">BMC Family Practice 2014 15:1, 15(1), 1–12. </w:t>
      </w:r>
      <w:hyperlink r:id="rId8" w:history="1">
        <w:r w:rsidRPr="004B6EF5">
          <w:rPr>
            <w:rStyle w:val="Hyperlink"/>
            <w:sz w:val="18"/>
            <w:szCs w:val="18"/>
          </w:rPr>
          <w:t>https://doi.org/10.1186/1471-2296-15-114</w:t>
        </w:r>
      </w:hyperlink>
      <w:r w:rsidRPr="004B6EF5">
        <w:rPr>
          <w:sz w:val="18"/>
          <w:szCs w:val="18"/>
        </w:rPr>
        <w:t>.</w:t>
      </w:r>
    </w:p>
    <w:p w14:paraId="7C645D21" w14:textId="77777777" w:rsidR="0099522B" w:rsidRPr="004B6EF5" w:rsidRDefault="0099522B" w:rsidP="0099522B">
      <w:pPr>
        <w:rPr>
          <w:sz w:val="18"/>
          <w:szCs w:val="18"/>
        </w:rPr>
      </w:pPr>
      <w:r w:rsidRPr="004B6EF5">
        <w:rPr>
          <w:sz w:val="18"/>
          <w:szCs w:val="18"/>
        </w:rPr>
        <w:t xml:space="preserve">4. NHG. (2021). Organisatie van de zorg - Spirometrie tijdens COVID-19 pandemie. </w:t>
      </w:r>
      <w:hyperlink r:id="rId9" w:anchor="spirometrie_tijdens_covid-19_pandemie" w:history="1">
        <w:r w:rsidRPr="004B6EF5">
          <w:rPr>
            <w:rStyle w:val="Hyperlink"/>
            <w:sz w:val="18"/>
            <w:szCs w:val="18"/>
          </w:rPr>
          <w:t>https://corona.nhg.org/organisatie-van-de-zorg/#spirometrie_tijdens_covid-19_pandemie</w:t>
        </w:r>
      </w:hyperlink>
    </w:p>
    <w:p w14:paraId="3155C3A6" w14:textId="77777777" w:rsidR="0099522B" w:rsidRPr="004B6EF5" w:rsidRDefault="0099522B" w:rsidP="0099522B">
      <w:pPr>
        <w:rPr>
          <w:sz w:val="18"/>
          <w:szCs w:val="18"/>
        </w:rPr>
      </w:pPr>
      <w:r w:rsidRPr="004B6EF5">
        <w:rPr>
          <w:sz w:val="18"/>
          <w:szCs w:val="18"/>
        </w:rPr>
        <w:t xml:space="preserve">5. Consortium huisartsgeneeskunde. </w:t>
      </w:r>
      <w:r w:rsidRPr="004B6EF5">
        <w:rPr>
          <w:rStyle w:val="Hyperlink"/>
          <w:sz w:val="18"/>
          <w:szCs w:val="18"/>
        </w:rPr>
        <w:t>https://www.consortiumhuisartsgeneeskunde.nl/</w:t>
      </w:r>
    </w:p>
    <w:p w14:paraId="423F8DFF" w14:textId="77777777" w:rsidR="0099522B" w:rsidRPr="004B6EF5" w:rsidRDefault="0099522B" w:rsidP="0099522B">
      <w:pPr>
        <w:rPr>
          <w:rStyle w:val="Hyperlink"/>
          <w:sz w:val="18"/>
          <w:szCs w:val="18"/>
        </w:rPr>
      </w:pPr>
      <w:r w:rsidRPr="004B6EF5">
        <w:rPr>
          <w:sz w:val="18"/>
          <w:szCs w:val="18"/>
        </w:rPr>
        <w:t xml:space="preserve">6. COVID-GP project (2022). Veranderingen in organisatie en zorggebruik in de huisartsenzorg: lessen van de coronapandemie (COVID-GP). https://www.nivel.nl/nl/project/veranderingen-organisatie-en-zorggebruik-de-huisartsenzorg-lessen-van-de-coronapandemie </w:t>
      </w:r>
    </w:p>
    <w:p w14:paraId="1B374F8C" w14:textId="77777777" w:rsidR="0099522B" w:rsidRPr="004B6EF5" w:rsidRDefault="0099522B" w:rsidP="0099522B">
      <w:pPr>
        <w:rPr>
          <w:sz w:val="18"/>
          <w:szCs w:val="18"/>
        </w:rPr>
      </w:pPr>
      <w:r w:rsidRPr="004B6EF5">
        <w:rPr>
          <w:sz w:val="18"/>
          <w:szCs w:val="18"/>
        </w:rPr>
        <w:t>7. Rijpkema, C., Homburg, M., Ramerman, L., Bos, N., Meijer, E., Schouwenaars, N., Olde Hartman, T., Muris, J., Verweij, R.A., Berger, M., Peters, L. Patiënten minder vaak naar de huisarts voor astma of COPD sinds de coronapandemie. COVID-GP Factsheet 3 Huisartsenzorg voor mensen met astma en COPD. Utrecht: Nivel, 2021.</w:t>
      </w:r>
    </w:p>
    <w:p w14:paraId="33F37485" w14:textId="77777777" w:rsidR="0099522B" w:rsidRPr="004B6EF5" w:rsidRDefault="0099522B" w:rsidP="0099522B">
      <w:pPr>
        <w:rPr>
          <w:sz w:val="18"/>
          <w:szCs w:val="18"/>
        </w:rPr>
      </w:pPr>
    </w:p>
    <w:p w14:paraId="1DC9D0CF" w14:textId="77777777" w:rsidR="0099522B" w:rsidRPr="004B6EF5" w:rsidRDefault="0099522B" w:rsidP="0099522B">
      <w:pPr>
        <w:rPr>
          <w:sz w:val="18"/>
          <w:szCs w:val="18"/>
        </w:rPr>
      </w:pPr>
    </w:p>
    <w:p w14:paraId="61150F3F" w14:textId="77777777" w:rsidR="00B36E55" w:rsidRPr="00527A9F" w:rsidRDefault="00B36E55" w:rsidP="00B36E55">
      <w:pPr>
        <w:spacing w:after="120" w:line="256" w:lineRule="auto"/>
        <w:ind w:left="360"/>
        <w:jc w:val="both"/>
        <w:rPr>
          <w:i/>
          <w:iCs/>
          <w:sz w:val="18"/>
          <w:szCs w:val="18"/>
        </w:rPr>
      </w:pPr>
    </w:p>
    <w:p w14:paraId="70B5F935" w14:textId="5EC76064" w:rsidR="00E401D4" w:rsidRDefault="00E401D4" w:rsidP="00B36E55">
      <w:pPr>
        <w:spacing w:after="120" w:line="256" w:lineRule="auto"/>
        <w:jc w:val="both"/>
        <w:rPr>
          <w:i/>
          <w:iCs/>
          <w:sz w:val="18"/>
          <w:szCs w:val="18"/>
        </w:rPr>
      </w:pPr>
    </w:p>
    <w:p w14:paraId="622FDE21" w14:textId="77777777" w:rsidR="00C72691" w:rsidRPr="00E03801" w:rsidRDefault="00C72691" w:rsidP="00C72691">
      <w:pPr>
        <w:rPr>
          <w:b/>
          <w:bCs/>
          <w:sz w:val="18"/>
          <w:szCs w:val="18"/>
        </w:rPr>
      </w:pPr>
      <w:r w:rsidRPr="00E03801">
        <w:rPr>
          <w:b/>
          <w:bCs/>
          <w:sz w:val="18"/>
          <w:szCs w:val="18"/>
        </w:rPr>
        <w:t xml:space="preserve">Red een leven in 30 seconden met behulp van Very Brief Advice </w:t>
      </w:r>
    </w:p>
    <w:p w14:paraId="616995B7" w14:textId="77777777" w:rsidR="00C72691" w:rsidRPr="00E03801" w:rsidRDefault="00C72691" w:rsidP="00C72691">
      <w:pPr>
        <w:rPr>
          <w:i/>
          <w:iCs/>
          <w:sz w:val="18"/>
          <w:szCs w:val="18"/>
        </w:rPr>
      </w:pPr>
      <w:r w:rsidRPr="00E03801">
        <w:rPr>
          <w:i/>
          <w:iCs/>
          <w:sz w:val="18"/>
          <w:szCs w:val="18"/>
        </w:rPr>
        <w:t>Referenties</w:t>
      </w:r>
    </w:p>
    <w:p w14:paraId="2AA185BE" w14:textId="77777777" w:rsidR="00C72691" w:rsidRPr="00E03801" w:rsidRDefault="00C72691" w:rsidP="00C72691">
      <w:pPr>
        <w:pStyle w:val="Lijstalinea"/>
        <w:numPr>
          <w:ilvl w:val="0"/>
          <w:numId w:val="3"/>
        </w:numPr>
        <w:spacing w:line="259" w:lineRule="auto"/>
        <w:rPr>
          <w:i/>
          <w:iCs/>
          <w:sz w:val="18"/>
          <w:szCs w:val="18"/>
          <w:lang w:val="nl-NL"/>
        </w:rPr>
      </w:pPr>
      <w:r w:rsidRPr="00E03801">
        <w:rPr>
          <w:i/>
          <w:iCs/>
          <w:sz w:val="18"/>
          <w:szCs w:val="18"/>
          <w:lang w:val="nl-NL"/>
        </w:rPr>
        <w:t>van Laar MW, van Beek RJ, Beenakkers EM, Cruts AA, Kuin MC, Meijer RF, Mujcic A, Olthof MI, Schutten F, Strada L. Nationale Drug Monitor-kerncijfers en ontwikkelingen 2021.</w:t>
      </w:r>
      <w:r w:rsidRPr="00E03801" w:rsidDel="00236364">
        <w:rPr>
          <w:i/>
          <w:iCs/>
          <w:sz w:val="18"/>
          <w:szCs w:val="18"/>
          <w:lang w:val="nl-NL"/>
        </w:rPr>
        <w:t xml:space="preserve"> </w:t>
      </w:r>
    </w:p>
    <w:p w14:paraId="119491F5" w14:textId="77777777" w:rsidR="00C72691" w:rsidRPr="00E03801" w:rsidRDefault="00C72691" w:rsidP="00C72691">
      <w:pPr>
        <w:pStyle w:val="Lijstalinea"/>
        <w:numPr>
          <w:ilvl w:val="0"/>
          <w:numId w:val="3"/>
        </w:numPr>
        <w:spacing w:line="259" w:lineRule="auto"/>
        <w:rPr>
          <w:i/>
          <w:iCs/>
          <w:sz w:val="18"/>
          <w:szCs w:val="18"/>
        </w:rPr>
      </w:pPr>
      <w:r w:rsidRPr="00E03801">
        <w:rPr>
          <w:i/>
          <w:iCs/>
          <w:sz w:val="18"/>
          <w:szCs w:val="18"/>
        </w:rPr>
        <w:t>van Rossem C, Spigt M, Viechtbauer W, Lucas AE, van Schayck OC, Kotz D. Effectiveness of intensive practice nurse counselling versus brief general practitioner advice, both combined with varenicline, for smoking cessation: a randomized pragmatic trial in primary care. Addiction. 2017 Dec;112(12):2237-47.</w:t>
      </w:r>
    </w:p>
    <w:p w14:paraId="0BB025DF" w14:textId="77777777" w:rsidR="00C72691" w:rsidRPr="00E03801" w:rsidRDefault="00C72691" w:rsidP="00C72691">
      <w:pPr>
        <w:pStyle w:val="Lijstalinea"/>
        <w:numPr>
          <w:ilvl w:val="0"/>
          <w:numId w:val="3"/>
        </w:numPr>
        <w:spacing w:line="259" w:lineRule="auto"/>
        <w:rPr>
          <w:i/>
          <w:iCs/>
          <w:sz w:val="18"/>
          <w:szCs w:val="18"/>
        </w:rPr>
      </w:pPr>
      <w:r w:rsidRPr="00E03801">
        <w:rPr>
          <w:i/>
          <w:iCs/>
          <w:sz w:val="18"/>
          <w:szCs w:val="18"/>
          <w:lang w:val="fr-FR"/>
        </w:rPr>
        <w:t xml:space="preserve">Aveyard P, Bergh R, Parsons A, et al. </w:t>
      </w:r>
      <w:r w:rsidRPr="00E03801">
        <w:rPr>
          <w:i/>
          <w:iCs/>
          <w:sz w:val="18"/>
          <w:szCs w:val="18"/>
        </w:rPr>
        <w:t xml:space="preserve">Brief opportunistic smoking cessation interventions: a systematic review and meta-analysis to compare advice to quit and offer of assistance. Addiction 2012;107:1066-73. </w:t>
      </w:r>
    </w:p>
    <w:p w14:paraId="7FA98285" w14:textId="77777777" w:rsidR="00C72691" w:rsidRPr="00E03801" w:rsidRDefault="00C72691" w:rsidP="00C72691">
      <w:pPr>
        <w:pStyle w:val="Lijstalinea"/>
        <w:numPr>
          <w:ilvl w:val="0"/>
          <w:numId w:val="3"/>
        </w:numPr>
        <w:spacing w:line="259" w:lineRule="auto"/>
        <w:rPr>
          <w:i/>
          <w:iCs/>
          <w:sz w:val="18"/>
          <w:szCs w:val="18"/>
        </w:rPr>
      </w:pPr>
      <w:r w:rsidRPr="00E03801">
        <w:rPr>
          <w:i/>
          <w:iCs/>
          <w:sz w:val="18"/>
          <w:szCs w:val="18"/>
        </w:rPr>
        <w:t xml:space="preserve">Wang MP, Suen YN, Li WH, et al. Intervention with brief cessation advice plus active referral for proactively recruited community smokers: a pragmatic cluster randomized clinical trial. JAMA Inter Med 2017;177:1790-7. </w:t>
      </w:r>
    </w:p>
    <w:p w14:paraId="25013675" w14:textId="77777777" w:rsidR="00C72691" w:rsidRPr="00E03801" w:rsidRDefault="00C72691" w:rsidP="00C72691">
      <w:pPr>
        <w:pStyle w:val="Lijstalinea"/>
        <w:numPr>
          <w:ilvl w:val="0"/>
          <w:numId w:val="3"/>
        </w:numPr>
        <w:spacing w:line="259" w:lineRule="auto"/>
        <w:rPr>
          <w:i/>
          <w:iCs/>
          <w:sz w:val="18"/>
          <w:szCs w:val="18"/>
        </w:rPr>
      </w:pPr>
      <w:r w:rsidRPr="00E03801">
        <w:rPr>
          <w:i/>
          <w:iCs/>
          <w:sz w:val="18"/>
          <w:szCs w:val="18"/>
        </w:rPr>
        <w:t xml:space="preserve">Omole OB, Ngobale KN, Ayo-Yusuf OA. Missed opportunities for tobacco use screening and brief cessation advice in South African primary health care: a cross-sectional study. BMC Fam Pract 2010;11:94. </w:t>
      </w:r>
    </w:p>
    <w:p w14:paraId="3A92F002" w14:textId="77777777" w:rsidR="00C72691" w:rsidRPr="00E03801" w:rsidRDefault="00C72691" w:rsidP="00C72691">
      <w:pPr>
        <w:pStyle w:val="Lijstalinea"/>
        <w:numPr>
          <w:ilvl w:val="0"/>
          <w:numId w:val="3"/>
        </w:numPr>
        <w:spacing w:line="259" w:lineRule="auto"/>
        <w:rPr>
          <w:i/>
          <w:iCs/>
          <w:sz w:val="18"/>
          <w:szCs w:val="18"/>
        </w:rPr>
      </w:pPr>
      <w:r w:rsidRPr="00E03801">
        <w:rPr>
          <w:i/>
          <w:iCs/>
          <w:sz w:val="18"/>
          <w:szCs w:val="18"/>
        </w:rPr>
        <w:t>https://hartvaathag.org/vba-very-brief-advice/</w:t>
      </w:r>
    </w:p>
    <w:p w14:paraId="320E5DD6" w14:textId="77777777" w:rsidR="00C72691" w:rsidRPr="00E03801" w:rsidRDefault="00C72691" w:rsidP="00C72691">
      <w:pPr>
        <w:pStyle w:val="Lijstalinea"/>
        <w:numPr>
          <w:ilvl w:val="0"/>
          <w:numId w:val="3"/>
        </w:numPr>
        <w:spacing w:line="259" w:lineRule="auto"/>
        <w:rPr>
          <w:i/>
          <w:iCs/>
          <w:sz w:val="18"/>
          <w:szCs w:val="18"/>
        </w:rPr>
      </w:pPr>
      <w:r w:rsidRPr="00E03801">
        <w:rPr>
          <w:i/>
          <w:iCs/>
          <w:sz w:val="18"/>
          <w:szCs w:val="18"/>
          <w:lang w:val="nl-NL"/>
        </w:rPr>
        <w:t xml:space="preserve">Chavannes N, Drenthen T, Wind L, et al. NHG-Standaard Stoppen met roken. </w:t>
      </w:r>
      <w:r w:rsidRPr="00E03801">
        <w:rPr>
          <w:i/>
          <w:iCs/>
          <w:sz w:val="18"/>
          <w:szCs w:val="18"/>
        </w:rPr>
        <w:t>Utrecht: NHG, 2017</w:t>
      </w:r>
    </w:p>
    <w:p w14:paraId="569661B9" w14:textId="77777777" w:rsidR="00C72691" w:rsidRPr="00C72691" w:rsidRDefault="00C72691" w:rsidP="00C72691">
      <w:pPr>
        <w:rPr>
          <w:lang w:eastAsia="en-US"/>
        </w:rPr>
      </w:pPr>
    </w:p>
    <w:sectPr w:rsidR="00C72691" w:rsidRPr="00C7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FB3"/>
    <w:multiLevelType w:val="hybridMultilevel"/>
    <w:tmpl w:val="E714ADC2"/>
    <w:lvl w:ilvl="0" w:tplc="7B4213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7F6392"/>
    <w:multiLevelType w:val="hybridMultilevel"/>
    <w:tmpl w:val="D40C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4508C"/>
    <w:multiLevelType w:val="hybridMultilevel"/>
    <w:tmpl w:val="89A27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6A39C2"/>
    <w:multiLevelType w:val="hybridMultilevel"/>
    <w:tmpl w:val="723AA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140114"/>
    <w:multiLevelType w:val="hybridMultilevel"/>
    <w:tmpl w:val="29B20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9909951">
    <w:abstractNumId w:val="1"/>
  </w:num>
  <w:num w:numId="2" w16cid:durableId="1861043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8778281">
    <w:abstractNumId w:val="4"/>
  </w:num>
  <w:num w:numId="4" w16cid:durableId="1492914818">
    <w:abstractNumId w:val="2"/>
  </w:num>
  <w:num w:numId="5" w16cid:durableId="106699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F8"/>
    <w:rsid w:val="000F1023"/>
    <w:rsid w:val="003F6593"/>
    <w:rsid w:val="00527A9F"/>
    <w:rsid w:val="005E6309"/>
    <w:rsid w:val="006A3BCA"/>
    <w:rsid w:val="0086613E"/>
    <w:rsid w:val="0099522B"/>
    <w:rsid w:val="00AB23F8"/>
    <w:rsid w:val="00B36E55"/>
    <w:rsid w:val="00C72691"/>
    <w:rsid w:val="00DC69CC"/>
    <w:rsid w:val="00E03801"/>
    <w:rsid w:val="00E40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D894"/>
  <w15:docId w15:val="{241391CB-5903-41B9-A2BD-64BE9992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23F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36E55"/>
    <w:pPr>
      <w:keepNext/>
      <w:outlineLvl w:val="0"/>
    </w:pPr>
    <w:rPr>
      <w:i/>
      <w:i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23F8"/>
    <w:pPr>
      <w:ind w:left="720"/>
      <w:contextualSpacing/>
    </w:pPr>
    <w:rPr>
      <w:noProof/>
      <w:sz w:val="22"/>
      <w:szCs w:val="20"/>
      <w:lang w:val="en-US"/>
    </w:rPr>
  </w:style>
  <w:style w:type="character" w:styleId="Hyperlink">
    <w:name w:val="Hyperlink"/>
    <w:rsid w:val="00AB23F8"/>
    <w:rPr>
      <w:color w:val="0033CC"/>
      <w:u w:val="single"/>
    </w:rPr>
  </w:style>
  <w:style w:type="paragraph" w:styleId="Normaalweb">
    <w:name w:val="Normal (Web)"/>
    <w:basedOn w:val="Standaard"/>
    <w:uiPriority w:val="99"/>
    <w:rsid w:val="00AB23F8"/>
    <w:pPr>
      <w:spacing w:before="100" w:beforeAutospacing="1" w:after="100" w:afterAutospacing="1"/>
    </w:pPr>
    <w:rPr>
      <w:rFonts w:ascii="Arial Unicode MS" w:eastAsia="Arial Unicode MS" w:hAnsi="Arial Unicode MS" w:cs="Arial Unicode MS"/>
    </w:rPr>
  </w:style>
  <w:style w:type="character" w:customStyle="1" w:styleId="authors-list-item">
    <w:name w:val="authors-list-item"/>
    <w:basedOn w:val="Standaardalinea-lettertype"/>
    <w:rsid w:val="00AB23F8"/>
  </w:style>
  <w:style w:type="character" w:customStyle="1" w:styleId="comma">
    <w:name w:val="comma"/>
    <w:basedOn w:val="Standaardalinea-lettertype"/>
    <w:rsid w:val="00AB23F8"/>
  </w:style>
  <w:style w:type="character" w:styleId="Verwijzingopmerking">
    <w:name w:val="annotation reference"/>
    <w:basedOn w:val="Standaardalinea-lettertype"/>
    <w:uiPriority w:val="99"/>
    <w:semiHidden/>
    <w:unhideWhenUsed/>
    <w:rsid w:val="0086613E"/>
    <w:rPr>
      <w:sz w:val="16"/>
      <w:szCs w:val="16"/>
    </w:rPr>
  </w:style>
  <w:style w:type="paragraph" w:styleId="Tekstopmerking">
    <w:name w:val="annotation text"/>
    <w:basedOn w:val="Standaard"/>
    <w:link w:val="TekstopmerkingChar"/>
    <w:uiPriority w:val="99"/>
    <w:unhideWhenUsed/>
    <w:rsid w:val="0086613E"/>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86613E"/>
    <w:rPr>
      <w:sz w:val="20"/>
      <w:szCs w:val="20"/>
    </w:rPr>
  </w:style>
  <w:style w:type="paragraph" w:styleId="Eindnoottekst">
    <w:name w:val="endnote text"/>
    <w:basedOn w:val="Standaard"/>
    <w:link w:val="EindnoottekstChar"/>
    <w:uiPriority w:val="99"/>
    <w:semiHidden/>
    <w:rsid w:val="00527A9F"/>
    <w:pPr>
      <w:widowControl w:val="0"/>
    </w:pPr>
    <w:rPr>
      <w:snapToGrid w:val="0"/>
      <w:sz w:val="20"/>
      <w:szCs w:val="20"/>
      <w:lang w:val="en-US" w:eastAsia="en-US"/>
    </w:rPr>
  </w:style>
  <w:style w:type="character" w:customStyle="1" w:styleId="EindnoottekstChar">
    <w:name w:val="Eindnoottekst Char"/>
    <w:basedOn w:val="Standaardalinea-lettertype"/>
    <w:link w:val="Eindnoottekst"/>
    <w:uiPriority w:val="99"/>
    <w:semiHidden/>
    <w:rsid w:val="00527A9F"/>
    <w:rPr>
      <w:rFonts w:ascii="Times New Roman" w:eastAsia="Times New Roman" w:hAnsi="Times New Roman" w:cs="Times New Roman"/>
      <w:snapToGrid w:val="0"/>
      <w:sz w:val="20"/>
      <w:szCs w:val="20"/>
      <w:lang w:val="en-US"/>
    </w:rPr>
  </w:style>
  <w:style w:type="character" w:styleId="Eindnootmarkering">
    <w:name w:val="endnote reference"/>
    <w:uiPriority w:val="99"/>
    <w:semiHidden/>
    <w:rsid w:val="00527A9F"/>
    <w:rPr>
      <w:vertAlign w:val="superscript"/>
    </w:rPr>
  </w:style>
  <w:style w:type="table" w:styleId="Rastertabel4">
    <w:name w:val="Grid Table 4"/>
    <w:basedOn w:val="Standaardtabel"/>
    <w:uiPriority w:val="49"/>
    <w:rsid w:val="00E401D4"/>
    <w:pPr>
      <w:spacing w:after="0" w:line="240" w:lineRule="auto"/>
      <w:ind w:firstLine="34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jschrift">
    <w:name w:val="caption"/>
    <w:basedOn w:val="Standaard"/>
    <w:next w:val="Standaard"/>
    <w:uiPriority w:val="35"/>
    <w:unhideWhenUsed/>
    <w:qFormat/>
    <w:rsid w:val="00E401D4"/>
    <w:pPr>
      <w:spacing w:after="200"/>
    </w:pPr>
    <w:rPr>
      <w:rFonts w:asciiTheme="minorHAnsi" w:eastAsiaTheme="minorHAnsi" w:hAnsiTheme="minorHAnsi" w:cstheme="minorBidi"/>
      <w:i/>
      <w:iCs/>
      <w:color w:val="44546A" w:themeColor="text2"/>
      <w:sz w:val="18"/>
      <w:szCs w:val="18"/>
      <w:lang w:eastAsia="en-US"/>
    </w:rPr>
  </w:style>
  <w:style w:type="character" w:customStyle="1" w:styleId="Kop1Char">
    <w:name w:val="Kop 1 Char"/>
    <w:basedOn w:val="Standaardalinea-lettertype"/>
    <w:link w:val="Kop1"/>
    <w:rsid w:val="00B36E5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471-2296-15-114" TargetMode="External"/><Relationship Id="rId3" Type="http://schemas.openxmlformats.org/officeDocument/2006/relationships/settings" Target="settings.xml"/><Relationship Id="rId7" Type="http://schemas.openxmlformats.org/officeDocument/2006/relationships/hyperlink" Target="https://www.pharos.nl/over-pharos/programmas-pharos/ehealth4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 TargetMode="External"/><Relationship Id="rId11" Type="http://schemas.openxmlformats.org/officeDocument/2006/relationships/theme" Target="theme/theme1.xml"/><Relationship Id="rId5" Type="http://schemas.openxmlformats.org/officeDocument/2006/relationships/hyperlink" Target="https://dutchdigitaldelta.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ona.nhg.org/organisatie-van-de-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Philipsen</dc:creator>
  <cp:keywords/>
  <dc:description/>
  <cp:lastModifiedBy>Cradle to  Cradle Café</cp:lastModifiedBy>
  <cp:revision>4</cp:revision>
  <dcterms:created xsi:type="dcterms:W3CDTF">2022-05-11T15:20:00Z</dcterms:created>
  <dcterms:modified xsi:type="dcterms:W3CDTF">2022-06-24T08:58:00Z</dcterms:modified>
</cp:coreProperties>
</file>